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BA98" w14:textId="09BCBA03" w:rsidR="00016EB8" w:rsidRDefault="00016EB8" w:rsidP="00016EB8">
      <w:pPr>
        <w:jc w:val="center"/>
      </w:pPr>
      <w:r>
        <w:t>Greenwood Area Library Board Meeting Minutes</w:t>
      </w:r>
    </w:p>
    <w:p w14:paraId="30212EB7" w14:textId="77777777" w:rsidR="00016EB8" w:rsidRDefault="00016EB8" w:rsidP="00016EB8">
      <w:pPr>
        <w:jc w:val="center"/>
      </w:pPr>
      <w:r>
        <w:t>January 12</w:t>
      </w:r>
      <w:r w:rsidRPr="003B47E7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8 a.m. Greenwood Area Library</w:t>
      </w:r>
    </w:p>
    <w:p w14:paraId="0409DFA0" w14:textId="77777777" w:rsidR="00016EB8" w:rsidRDefault="00016EB8" w:rsidP="00016EB8">
      <w:pPr>
        <w:jc w:val="center"/>
      </w:pPr>
    </w:p>
    <w:p w14:paraId="09D4B8FF" w14:textId="77777777" w:rsidR="00016EB8" w:rsidRDefault="00016EB8" w:rsidP="00016EB8">
      <w:pPr>
        <w:jc w:val="center"/>
      </w:pPr>
    </w:p>
    <w:p w14:paraId="40C9C722" w14:textId="77777777" w:rsidR="00016EB8" w:rsidRDefault="00016EB8" w:rsidP="00016EB8">
      <w:pPr>
        <w:jc w:val="center"/>
      </w:pPr>
    </w:p>
    <w:p w14:paraId="17E93B8C" w14:textId="13D08CBD" w:rsidR="00016EB8" w:rsidRDefault="00016EB8" w:rsidP="00016EB8">
      <w:pPr>
        <w:pStyle w:val="ListParagraph"/>
        <w:numPr>
          <w:ilvl w:val="0"/>
          <w:numId w:val="1"/>
        </w:numPr>
      </w:pPr>
      <w:r>
        <w:t>Call Meeting to Order-Meeting called to Order at 8:02am by Cheri Lenz. Members present Cheri Lenz, Amber Brill, Sylvia Weaver, Barb Ashbeck. Kayla arrived at 8:04am.</w:t>
      </w:r>
    </w:p>
    <w:p w14:paraId="699E1551" w14:textId="00FA77A7" w:rsidR="00016EB8" w:rsidRDefault="00016EB8" w:rsidP="00016EB8">
      <w:pPr>
        <w:pStyle w:val="ListParagraph"/>
        <w:numPr>
          <w:ilvl w:val="0"/>
          <w:numId w:val="1"/>
        </w:numPr>
      </w:pPr>
      <w:r w:rsidRPr="002A4874">
        <w:rPr>
          <w:color w:val="FF0000"/>
        </w:rPr>
        <w:t xml:space="preserve">Action Item: </w:t>
      </w:r>
      <w:r>
        <w:t>Approval of minutes for November 17</w:t>
      </w:r>
      <w:r w:rsidRPr="005A3C9E">
        <w:rPr>
          <w:vertAlign w:val="superscript"/>
        </w:rPr>
        <w:t>th</w:t>
      </w:r>
      <w:r>
        <w:rPr>
          <w:vertAlign w:val="superscript"/>
        </w:rPr>
        <w:t xml:space="preserve">, </w:t>
      </w:r>
      <w:r>
        <w:t>2023-Motion to approve by Barb, Sylvia seconded. Unanimously approved. Motion Carried.</w:t>
      </w:r>
    </w:p>
    <w:p w14:paraId="70A4ABC0" w14:textId="60843FD5" w:rsidR="00016EB8" w:rsidRDefault="00016EB8" w:rsidP="00016EB8">
      <w:pPr>
        <w:pStyle w:val="ListParagraph"/>
        <w:numPr>
          <w:ilvl w:val="0"/>
          <w:numId w:val="1"/>
        </w:numPr>
      </w:pPr>
      <w:r>
        <w:rPr>
          <w:color w:val="FF0000"/>
        </w:rPr>
        <w:t>Action Item:</w:t>
      </w:r>
      <w:r>
        <w:t xml:space="preserve"> Approval of minutes from special meeting from 01.10.23.-</w:t>
      </w:r>
      <w:r w:rsidR="006A25F5">
        <w:t xml:space="preserve">Discussed that Kayla would reach out to Engineers via request from Joe Green regarding if it is necessary to hire an engineer with current floorplan. </w:t>
      </w:r>
      <w:r>
        <w:t>Motion to approve made by Kayla with correction to #3: Action Item-Barb Opposed. Sylvia seconded. Unanimously approved. Motion Carried.</w:t>
      </w:r>
    </w:p>
    <w:p w14:paraId="785DD118" w14:textId="77777777" w:rsidR="00016EB8" w:rsidRDefault="00016EB8" w:rsidP="00016EB8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071"/>
        <w:gridCol w:w="5035"/>
      </w:tblGrid>
      <w:tr w:rsidR="00016EB8" w:rsidRPr="00664B10" w14:paraId="3CFA7F6A" w14:textId="77777777" w:rsidTr="0053152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8BC" w14:textId="77777777" w:rsidR="00016EB8" w:rsidRPr="00664B10" w:rsidRDefault="00016EB8" w:rsidP="0053152E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18C3973F" w14:textId="77777777" w:rsidR="00016EB8" w:rsidRPr="00664B10" w:rsidRDefault="00016EB8" w:rsidP="0053152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Nov</w:t>
            </w:r>
            <w:r w:rsidRPr="00664B10">
              <w:rPr>
                <w:rFonts w:cstheme="minorHAnsi"/>
                <w:u w:val="single"/>
              </w:rPr>
              <w:t>=</w:t>
            </w:r>
            <w:r w:rsidRPr="00116B59">
              <w:rPr>
                <w:rFonts w:cstheme="minorHAnsi"/>
              </w:rPr>
              <w:t>1847</w:t>
            </w:r>
            <w:r w:rsidRPr="00285448">
              <w:rPr>
                <w:rFonts w:cstheme="minorHAnsi"/>
              </w:rPr>
              <w:t>/+208 LY</w:t>
            </w:r>
          </w:p>
        </w:tc>
        <w:tc>
          <w:tcPr>
            <w:tcW w:w="5035" w:type="dxa"/>
          </w:tcPr>
          <w:p w14:paraId="228E0249" w14:textId="77777777" w:rsidR="00016EB8" w:rsidRPr="00664B10" w:rsidRDefault="00016EB8" w:rsidP="0053152E">
            <w:pPr>
              <w:rPr>
                <w:rFonts w:cstheme="minorHAnsi"/>
                <w:u w:val="single"/>
              </w:rPr>
            </w:pPr>
          </w:p>
        </w:tc>
      </w:tr>
      <w:tr w:rsidR="00016EB8" w:rsidRPr="00664B10" w14:paraId="5826BB53" w14:textId="77777777" w:rsidTr="0053152E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7A0" w14:textId="77777777" w:rsidR="00016EB8" w:rsidRPr="00664B10" w:rsidRDefault="00016EB8" w:rsidP="0053152E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48BB1853" w14:textId="77777777" w:rsidR="00016EB8" w:rsidRPr="00664B10" w:rsidRDefault="00016EB8" w:rsidP="0053152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Dec=</w:t>
            </w:r>
            <w:r w:rsidRPr="00116B59">
              <w:rPr>
                <w:rFonts w:cstheme="minorHAnsi"/>
              </w:rPr>
              <w:t>1402/-</w:t>
            </w:r>
            <w:r w:rsidRPr="004137DA">
              <w:rPr>
                <w:rFonts w:cstheme="minorHAnsi"/>
                <w:color w:val="FF0000"/>
              </w:rPr>
              <w:t>244 LY</w:t>
            </w:r>
          </w:p>
        </w:tc>
        <w:tc>
          <w:tcPr>
            <w:tcW w:w="5035" w:type="dxa"/>
          </w:tcPr>
          <w:p w14:paraId="4CA10417" w14:textId="77777777" w:rsidR="00016EB8" w:rsidRPr="00664B10" w:rsidRDefault="00016EB8" w:rsidP="0053152E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>YTD 2022</w:t>
            </w:r>
            <w:r w:rsidRPr="009D0B17">
              <w:rPr>
                <w:rFonts w:cstheme="minorHAnsi"/>
              </w:rPr>
              <w:t>=</w:t>
            </w:r>
            <w:r>
              <w:rPr>
                <w:rFonts w:cstheme="minorHAnsi"/>
              </w:rPr>
              <w:t>19572</w:t>
            </w:r>
            <w:r w:rsidRPr="009D0B17">
              <w:rPr>
                <w:rFonts w:cstheme="minorHAnsi"/>
              </w:rPr>
              <w:t>/</w:t>
            </w:r>
            <w:r w:rsidRPr="004137DA">
              <w:rPr>
                <w:rFonts w:cstheme="minorHAnsi"/>
              </w:rPr>
              <w:t>LY+1119</w:t>
            </w:r>
          </w:p>
        </w:tc>
      </w:tr>
      <w:tr w:rsidR="00016EB8" w:rsidRPr="00664B10" w14:paraId="4FB4A688" w14:textId="77777777" w:rsidTr="0053152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83E" w14:textId="77777777" w:rsidR="00016EB8" w:rsidRPr="00664B10" w:rsidRDefault="00016EB8" w:rsidP="0053152E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07937B3E" w14:textId="77777777" w:rsidR="00016EB8" w:rsidRPr="00664B10" w:rsidRDefault="00016EB8" w:rsidP="0053152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Nov</w:t>
            </w:r>
            <w:r w:rsidRPr="00664B10">
              <w:rPr>
                <w:rFonts w:cstheme="minorHAnsi"/>
                <w:u w:val="single"/>
              </w:rPr>
              <w:t>=</w:t>
            </w:r>
            <w:r w:rsidRPr="00DF34EE">
              <w:rPr>
                <w:rFonts w:cstheme="minorHAnsi"/>
              </w:rPr>
              <w:t>305</w:t>
            </w:r>
            <w:r w:rsidRPr="009808EE">
              <w:rPr>
                <w:rFonts w:cstheme="minorHAnsi"/>
              </w:rPr>
              <w:t>/</w:t>
            </w:r>
            <w:r>
              <w:rPr>
                <w:rFonts w:cstheme="minorHAnsi"/>
              </w:rPr>
              <w:t>-</w:t>
            </w:r>
            <w:r w:rsidRPr="00517A7E">
              <w:rPr>
                <w:rFonts w:cstheme="minorHAnsi"/>
                <w:color w:val="FF0000"/>
              </w:rPr>
              <w:t>54 LY</w:t>
            </w:r>
          </w:p>
        </w:tc>
        <w:tc>
          <w:tcPr>
            <w:tcW w:w="5035" w:type="dxa"/>
          </w:tcPr>
          <w:p w14:paraId="3FEBAF66" w14:textId="77777777" w:rsidR="00016EB8" w:rsidRPr="00664B10" w:rsidRDefault="00016EB8" w:rsidP="0053152E">
            <w:pPr>
              <w:rPr>
                <w:rFonts w:cstheme="minorHAnsi"/>
                <w:u w:val="single"/>
              </w:rPr>
            </w:pPr>
          </w:p>
        </w:tc>
      </w:tr>
      <w:tr w:rsidR="00016EB8" w:rsidRPr="00664B10" w14:paraId="405F7B03" w14:textId="77777777" w:rsidTr="0053152E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E60" w14:textId="77777777" w:rsidR="00016EB8" w:rsidRPr="00664B10" w:rsidRDefault="00016EB8" w:rsidP="0053152E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9A317" w14:textId="77777777" w:rsidR="00016EB8" w:rsidRPr="00664B10" w:rsidRDefault="00016EB8" w:rsidP="0053152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Dec=449/+133 LY</w:t>
            </w:r>
          </w:p>
        </w:tc>
        <w:tc>
          <w:tcPr>
            <w:tcW w:w="5035" w:type="dxa"/>
          </w:tcPr>
          <w:p w14:paraId="16727782" w14:textId="77777777" w:rsidR="00016EB8" w:rsidRPr="00664B10" w:rsidRDefault="00016EB8" w:rsidP="0053152E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>YTD 2022=</w:t>
            </w:r>
            <w:r>
              <w:rPr>
                <w:rFonts w:cstheme="minorHAnsi"/>
                <w:u w:val="single"/>
              </w:rPr>
              <w:t>5044/+88</w:t>
            </w:r>
            <w:r w:rsidRPr="00A61950">
              <w:rPr>
                <w:rFonts w:cstheme="minorHAnsi"/>
                <w:color w:val="000000" w:themeColor="text1"/>
                <w:u w:val="single"/>
              </w:rPr>
              <w:t>2LY</w:t>
            </w:r>
          </w:p>
        </w:tc>
      </w:tr>
    </w:tbl>
    <w:p w14:paraId="29FEF231" w14:textId="77777777" w:rsidR="00016EB8" w:rsidRDefault="00016EB8" w:rsidP="00016EB8">
      <w:pPr>
        <w:pStyle w:val="ListParagraph"/>
        <w:rPr>
          <w:u w:val="single"/>
        </w:rPr>
      </w:pPr>
    </w:p>
    <w:p w14:paraId="349DFBF2" w14:textId="77777777" w:rsidR="00016EB8" w:rsidRDefault="00016EB8" w:rsidP="00016EB8">
      <w:pPr>
        <w:pStyle w:val="ListParagraph"/>
        <w:rPr>
          <w:u w:val="single"/>
        </w:rPr>
      </w:pPr>
      <w:r>
        <w:rPr>
          <w:u w:val="single"/>
        </w:rPr>
        <w:t>Savings balance before January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016EB8" w:rsidRPr="00664B10" w14:paraId="67EF6008" w14:textId="77777777" w:rsidTr="0053152E">
        <w:tc>
          <w:tcPr>
            <w:tcW w:w="4495" w:type="dxa"/>
          </w:tcPr>
          <w:p w14:paraId="2BD74AF5" w14:textId="77777777" w:rsidR="00016EB8" w:rsidRPr="00664B10" w:rsidRDefault="00016EB8" w:rsidP="0053152E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7D635CE3" w14:textId="77777777" w:rsidR="00016EB8" w:rsidRPr="00664B10" w:rsidRDefault="00016EB8" w:rsidP="0053152E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016EB8" w:rsidRPr="00664B10" w14:paraId="60E9E3D1" w14:textId="77777777" w:rsidTr="0053152E">
        <w:tc>
          <w:tcPr>
            <w:tcW w:w="4495" w:type="dxa"/>
          </w:tcPr>
          <w:p w14:paraId="6543FE94" w14:textId="77777777" w:rsidR="00016EB8" w:rsidRPr="00664B10" w:rsidRDefault="00016EB8" w:rsidP="0053152E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5,446.94</w:t>
            </w:r>
            <w:r w:rsidRPr="00664B10">
              <w:rPr>
                <w:rFonts w:cstheme="minorHAnsi"/>
              </w:rPr>
              <w:t xml:space="preserve"> as of </w:t>
            </w:r>
            <w:r>
              <w:rPr>
                <w:rFonts w:cstheme="minorHAnsi"/>
              </w:rPr>
              <w:t>1/4</w:t>
            </w:r>
          </w:p>
        </w:tc>
        <w:tc>
          <w:tcPr>
            <w:tcW w:w="4135" w:type="dxa"/>
          </w:tcPr>
          <w:p w14:paraId="7C8A4E47" w14:textId="77777777" w:rsidR="00016EB8" w:rsidRPr="00664B10" w:rsidRDefault="00016EB8" w:rsidP="0053152E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  </w:t>
            </w:r>
            <w:r w:rsidRPr="00664B10">
              <w:rPr>
                <w:rFonts w:cstheme="minorHAnsi"/>
                <w:b/>
                <w:bCs/>
              </w:rPr>
              <w:t>$4,</w:t>
            </w:r>
            <w:r>
              <w:rPr>
                <w:rFonts w:cstheme="minorHAnsi"/>
                <w:b/>
                <w:bCs/>
              </w:rPr>
              <w:t xml:space="preserve">915.26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1/9</w:t>
            </w:r>
          </w:p>
        </w:tc>
      </w:tr>
      <w:tr w:rsidR="00016EB8" w:rsidRPr="00664B10" w14:paraId="25450374" w14:textId="77777777" w:rsidTr="0053152E">
        <w:tc>
          <w:tcPr>
            <w:tcW w:w="4495" w:type="dxa"/>
          </w:tcPr>
          <w:p w14:paraId="07D5A3AB" w14:textId="77777777" w:rsidR="00016EB8" w:rsidRPr="00664B10" w:rsidRDefault="00016EB8" w:rsidP="0053152E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$13,0</w:t>
            </w:r>
            <w:r>
              <w:rPr>
                <w:rFonts w:cstheme="minorHAnsi"/>
                <w:b/>
                <w:bCs/>
              </w:rPr>
              <w:t>71.67</w:t>
            </w:r>
            <w:r w:rsidRPr="00664B10">
              <w:rPr>
                <w:rFonts w:cstheme="minorHAnsi"/>
              </w:rPr>
              <w:t xml:space="preserve"> as of </w:t>
            </w:r>
            <w:r>
              <w:rPr>
                <w:rFonts w:cstheme="minorHAnsi"/>
              </w:rPr>
              <w:t>1/4</w:t>
            </w:r>
          </w:p>
        </w:tc>
        <w:tc>
          <w:tcPr>
            <w:tcW w:w="4135" w:type="dxa"/>
          </w:tcPr>
          <w:p w14:paraId="29F48953" w14:textId="77777777" w:rsidR="00016EB8" w:rsidRPr="00664B10" w:rsidRDefault="00016EB8" w:rsidP="0053152E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016EB8" w:rsidRPr="00664B10" w14:paraId="4BAEB756" w14:textId="77777777" w:rsidTr="0053152E">
        <w:tc>
          <w:tcPr>
            <w:tcW w:w="4495" w:type="dxa"/>
          </w:tcPr>
          <w:p w14:paraId="63A24BDC" w14:textId="77777777" w:rsidR="00016EB8" w:rsidRPr="00664B10" w:rsidRDefault="00016EB8" w:rsidP="0053152E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>29,401.15</w:t>
            </w:r>
            <w:r w:rsidRPr="00664B10">
              <w:rPr>
                <w:rFonts w:cstheme="minorHAnsi"/>
                <w:u w:val="single"/>
              </w:rPr>
              <w:t xml:space="preserve"> as of </w:t>
            </w:r>
            <w:r>
              <w:rPr>
                <w:rFonts w:cstheme="minorHAnsi"/>
                <w:u w:val="single"/>
              </w:rPr>
              <w:t>1/4</w:t>
            </w:r>
          </w:p>
        </w:tc>
        <w:tc>
          <w:tcPr>
            <w:tcW w:w="4135" w:type="dxa"/>
          </w:tcPr>
          <w:p w14:paraId="64452524" w14:textId="77777777" w:rsidR="00016EB8" w:rsidRPr="00664B10" w:rsidRDefault="00016EB8" w:rsidP="0053152E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08BC2F3E" w14:textId="77777777" w:rsidR="00016EB8" w:rsidRDefault="00016EB8" w:rsidP="00016EB8">
      <w:pPr>
        <w:rPr>
          <w:u w:val="single"/>
        </w:rPr>
      </w:pPr>
    </w:p>
    <w:p w14:paraId="366D1E90" w14:textId="77777777" w:rsidR="00016EB8" w:rsidRDefault="00016EB8" w:rsidP="00016EB8">
      <w:pPr>
        <w:rPr>
          <w:u w:val="single"/>
        </w:rPr>
      </w:pPr>
    </w:p>
    <w:p w14:paraId="133A4744" w14:textId="77777777" w:rsidR="00016EB8" w:rsidRDefault="00016EB8" w:rsidP="00016EB8">
      <w:pPr>
        <w:rPr>
          <w:u w:val="single"/>
        </w:rPr>
      </w:pPr>
    </w:p>
    <w:p w14:paraId="3DCCC416" w14:textId="77777777" w:rsidR="00016EB8" w:rsidRDefault="00016EB8" w:rsidP="00016EB8">
      <w:pPr>
        <w:rPr>
          <w:u w:val="single"/>
        </w:rPr>
      </w:pPr>
    </w:p>
    <w:p w14:paraId="738B454C" w14:textId="77777777" w:rsidR="00016EB8" w:rsidRDefault="00016EB8" w:rsidP="00016EB8">
      <w:pPr>
        <w:rPr>
          <w:u w:val="single"/>
        </w:rPr>
      </w:pPr>
    </w:p>
    <w:p w14:paraId="40EE757C" w14:textId="77777777" w:rsidR="00016EB8" w:rsidRPr="003B47E7" w:rsidRDefault="00016EB8" w:rsidP="00016EB8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171E0013" w14:textId="7E3F7FC5" w:rsidR="00016EB8" w:rsidRPr="00016EB8" w:rsidRDefault="00016EB8" w:rsidP="00016EB8"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>: November and December Expenses, Account Balances, MTD income/expenses, checks approval-</w:t>
      </w:r>
      <w:r>
        <w:t>Motion to approve November and December Expenses made by Kayla, seconded by Barb. Unanimously approved. Motion Carried.</w:t>
      </w:r>
    </w:p>
    <w:p w14:paraId="74F58D33" w14:textId="77777777" w:rsidR="00016EB8" w:rsidRDefault="00016EB8" w:rsidP="00016EB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0B36D57E" w14:textId="4153DC2B" w:rsidR="00016EB8" w:rsidRDefault="00016EB8" w:rsidP="00016EB8">
      <w:pPr>
        <w:pStyle w:val="ListParagraph"/>
      </w:pPr>
      <w:r w:rsidRPr="00086733">
        <w:t>TE-</w:t>
      </w:r>
      <w:r>
        <w:t>8</w:t>
      </w:r>
      <w:r w:rsidRPr="00086733">
        <w:t xml:space="preserve"> discuss</w:t>
      </w:r>
      <w:r>
        <w:t>-Discussion on how to create a Library Budget.</w:t>
      </w:r>
    </w:p>
    <w:p w14:paraId="51A8EEE8" w14:textId="77777777" w:rsidR="00016EB8" w:rsidRDefault="00016EB8" w:rsidP="00016EB8">
      <w:pPr>
        <w:pStyle w:val="ListParagraph"/>
        <w:numPr>
          <w:ilvl w:val="0"/>
          <w:numId w:val="1"/>
        </w:numPr>
        <w:rPr>
          <w:u w:val="single"/>
        </w:rPr>
      </w:pPr>
      <w:r w:rsidRPr="00086733">
        <w:rPr>
          <w:u w:val="single"/>
        </w:rPr>
        <w:t>Library Business</w:t>
      </w:r>
    </w:p>
    <w:p w14:paraId="58E21398" w14:textId="43B2BE71" w:rsidR="00016EB8" w:rsidRPr="003B47E7" w:rsidRDefault="00016EB8" w:rsidP="00016EB8">
      <w:pPr>
        <w:pStyle w:val="ListParagraph"/>
      </w:pPr>
      <w:r>
        <w:t>Programs for February &amp; March-Amber went over February and March programs.</w:t>
      </w:r>
    </w:p>
    <w:p w14:paraId="74169BD6" w14:textId="3B3FC040" w:rsidR="00016EB8" w:rsidRDefault="00016EB8" w:rsidP="00016EB8">
      <w:pPr>
        <w:pStyle w:val="ListParagraph"/>
      </w:pPr>
      <w:r w:rsidRPr="007C5BA0">
        <w:t>Logo</w:t>
      </w:r>
      <w:r>
        <w:t>-feedback or suggestions-Amber will make a few alterations on one and we will look at it again for next meeting.</w:t>
      </w:r>
    </w:p>
    <w:p w14:paraId="226556FB" w14:textId="70C4576A" w:rsidR="00016EB8" w:rsidRPr="00016EB8" w:rsidRDefault="00016EB8" w:rsidP="00016EB8">
      <w:pPr>
        <w:pStyle w:val="ListParagraph"/>
      </w:pPr>
      <w:r w:rsidRPr="001B7083">
        <w:rPr>
          <w:color w:val="FF0000"/>
          <w:u w:val="single"/>
        </w:rPr>
        <w:t>Action Item:</w:t>
      </w:r>
      <w:r w:rsidRPr="001B7083">
        <w:rPr>
          <w:color w:val="FF0000"/>
        </w:rPr>
        <w:t xml:space="preserve"> </w:t>
      </w:r>
      <w:r>
        <w:t>Approve new domain name/email addresses-</w:t>
      </w:r>
      <w:r w:rsidRPr="003B47E7">
        <w:rPr>
          <w:u w:val="single"/>
        </w:rPr>
        <w:t>www.greenwoodarealibrary.org</w:t>
      </w:r>
      <w:r>
        <w:rPr>
          <w:u w:val="single"/>
        </w:rPr>
        <w:t>?-</w:t>
      </w:r>
      <w:r>
        <w:t>Kayla made the motion to accept the new domain/email address. Sylvia seconded. Unanimously approved. Motion carried. Amber will verify with WVLS and get it placed in motion.</w:t>
      </w:r>
    </w:p>
    <w:p w14:paraId="24C6A6F0" w14:textId="1F881EFA" w:rsidR="00016EB8" w:rsidRDefault="00016EB8" w:rsidP="00016EB8">
      <w:pPr>
        <w:pStyle w:val="ListParagraph"/>
        <w:numPr>
          <w:ilvl w:val="0"/>
          <w:numId w:val="1"/>
        </w:numPr>
      </w:pPr>
      <w:r>
        <w:t xml:space="preserve">Set next Meeting date &amp; time-Annual Meeting (before </w:t>
      </w:r>
      <w:proofErr w:type="spellStart"/>
      <w:r>
        <w:t>feb</w:t>
      </w:r>
      <w:proofErr w:type="spellEnd"/>
      <w:r>
        <w:t xml:space="preserve"> 21</w:t>
      </w:r>
      <w:r w:rsidRPr="00EB7B09">
        <w:rPr>
          <w:vertAlign w:val="superscript"/>
        </w:rPr>
        <w:t>st</w:t>
      </w:r>
      <w:r>
        <w:t>) Next Meeting February 9</w:t>
      </w:r>
      <w:r w:rsidRPr="00016EB8">
        <w:rPr>
          <w:vertAlign w:val="superscript"/>
        </w:rPr>
        <w:t>th</w:t>
      </w:r>
      <w:r>
        <w:t xml:space="preserve"> 8am.</w:t>
      </w:r>
    </w:p>
    <w:p w14:paraId="73FF1129" w14:textId="67873265" w:rsidR="00016EB8" w:rsidRPr="00086733" w:rsidRDefault="00016EB8" w:rsidP="00016EB8">
      <w:pPr>
        <w:pStyle w:val="ListParagraph"/>
        <w:numPr>
          <w:ilvl w:val="0"/>
          <w:numId w:val="1"/>
        </w:numPr>
      </w:pPr>
      <w:r w:rsidRPr="00086733">
        <w:rPr>
          <w:color w:val="FF0000"/>
          <w:u w:val="single"/>
        </w:rPr>
        <w:t>Action Item:</w:t>
      </w:r>
      <w:r w:rsidRPr="00086733">
        <w:rPr>
          <w:color w:val="FF0000"/>
        </w:rPr>
        <w:t xml:space="preserve"> </w:t>
      </w:r>
      <w:r>
        <w:t>Adjourn-Motion to adjourn made by Cheri and seconded by Barb. Unanimously approved. Meeting Adjourned at 9:05am.</w:t>
      </w:r>
    </w:p>
    <w:p w14:paraId="1B425925" w14:textId="77777777" w:rsidR="00016EB8" w:rsidRDefault="00016EB8" w:rsidP="00016EB8"/>
    <w:p w14:paraId="7A96879F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11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B8"/>
    <w:rsid w:val="00016EB8"/>
    <w:rsid w:val="0005793C"/>
    <w:rsid w:val="00123513"/>
    <w:rsid w:val="006A25F5"/>
    <w:rsid w:val="00A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B9AC"/>
  <w15:chartTrackingRefBased/>
  <w15:docId w15:val="{623D8159-9D12-4140-9DD5-88CD693E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B8"/>
    <w:pPr>
      <w:ind w:left="720"/>
      <w:contextualSpacing/>
    </w:pPr>
  </w:style>
  <w:style w:type="table" w:styleId="TableGrid">
    <w:name w:val="Table Grid"/>
    <w:basedOn w:val="TableNormal"/>
    <w:uiPriority w:val="39"/>
    <w:rsid w:val="0001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2023-05-12T14:50:00Z</dcterms:created>
  <dcterms:modified xsi:type="dcterms:W3CDTF">2023-05-12T14:50:00Z</dcterms:modified>
</cp:coreProperties>
</file>